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0"/>
        <w:gridCol w:w="2913"/>
        <w:gridCol w:w="2907"/>
      </w:tblGrid>
      <w:tr w:rsidR="00410074" w:rsidRPr="001B2595" w:rsidTr="00410074">
        <w:tc>
          <w:tcPr>
            <w:tcW w:w="2900" w:type="dxa"/>
          </w:tcPr>
          <w:p w:rsidR="00410074" w:rsidRPr="001B2595" w:rsidRDefault="00410074" w:rsidP="0041007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Determinantes sociales de la salud</w:t>
            </w:r>
          </w:p>
        </w:tc>
        <w:tc>
          <w:tcPr>
            <w:tcW w:w="2913" w:type="dxa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07" w:type="dxa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410074" w:rsidRPr="001B2595" w:rsidTr="00410074">
        <w:tc>
          <w:tcPr>
            <w:tcW w:w="2900" w:type="dxa"/>
          </w:tcPr>
          <w:p w:rsidR="00410074" w:rsidRPr="001B2595" w:rsidRDefault="00410074" w:rsidP="0041007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3" w:type="dxa"/>
          </w:tcPr>
          <w:p w:rsidR="00410074" w:rsidRPr="001B2595" w:rsidRDefault="00410074" w:rsidP="00410074">
            <w:pPr>
              <w:spacing w:after="0" w:line="240" w:lineRule="auto"/>
              <w:jc w:val="both"/>
            </w:pPr>
          </w:p>
        </w:tc>
        <w:tc>
          <w:tcPr>
            <w:tcW w:w="2907" w:type="dxa"/>
          </w:tcPr>
          <w:p w:rsidR="00410074" w:rsidRPr="001B2595" w:rsidRDefault="00410074" w:rsidP="00410074">
            <w:pPr>
              <w:spacing w:after="0" w:line="240" w:lineRule="auto"/>
              <w:jc w:val="both"/>
            </w:pPr>
          </w:p>
        </w:tc>
      </w:tr>
      <w:tr w:rsidR="00410074" w:rsidRPr="001B2595" w:rsidTr="00410074">
        <w:tc>
          <w:tcPr>
            <w:tcW w:w="8720" w:type="dxa"/>
            <w:gridSpan w:val="3"/>
            <w:vAlign w:val="center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¿Cómo se atenderán los determinantes de la salud desde la intersectorialidad y transectorialidad característica de la estrategia de APS?, cuáles serán los compromisos intersectoriales  y transectoriales?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alcance le supone a la APS adoptar el enfoque de determinantes sociales de la salud?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¿Cuál es la estructura y enfoque de determinantes que va a asumir el MPS para la APS?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implica la gestión de información desde los determinantes?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exigencias reglamentarias supone el enfoque de determinantes?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competencias deben tener los equipos de atención para asumir este enfoque?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capacidades institucionales supone este enfoque a la autoridad sanitaria y su rectoría?</w:t>
            </w:r>
          </w:p>
          <w:p w:rsidR="00410074" w:rsidRPr="00F9377F" w:rsidRDefault="00410074" w:rsidP="004100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alcance tiene este enfoque en el contexto de los aseguradores y prestadores?</w:t>
            </w: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</w:tc>
      </w:tr>
    </w:tbl>
    <w:p w:rsidR="00D46B3E" w:rsidRDefault="00512687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281.7pt;width:40.75pt;height:52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99C" w:rsidRDefault="0075499C" w:rsidP="00410074">
      <w:pPr>
        <w:spacing w:after="0" w:line="240" w:lineRule="auto"/>
      </w:pPr>
      <w:r>
        <w:separator/>
      </w:r>
    </w:p>
  </w:endnote>
  <w:endnote w:type="continuationSeparator" w:id="0">
    <w:p w:rsidR="0075499C" w:rsidRDefault="0075499C" w:rsidP="0041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99C" w:rsidRDefault="0075499C" w:rsidP="00410074">
      <w:pPr>
        <w:spacing w:after="0" w:line="240" w:lineRule="auto"/>
      </w:pPr>
      <w:r>
        <w:separator/>
      </w:r>
    </w:p>
  </w:footnote>
  <w:footnote w:type="continuationSeparator" w:id="0">
    <w:p w:rsidR="0075499C" w:rsidRDefault="0075499C" w:rsidP="00410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074" w:rsidRPr="00410074" w:rsidRDefault="00410074" w:rsidP="00410074">
    <w:pPr>
      <w:pStyle w:val="Encabezado"/>
      <w:jc w:val="center"/>
      <w:rPr>
        <w:sz w:val="48"/>
      </w:rPr>
    </w:pPr>
    <w:r w:rsidRPr="00410074">
      <w:rPr>
        <w:b/>
        <w:sz w:val="48"/>
      </w:rPr>
      <w:t>DETERMINANTES SOCIALES DE LA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41B10"/>
    <w:multiLevelType w:val="hybridMultilevel"/>
    <w:tmpl w:val="D4D0C5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074"/>
    <w:rsid w:val="00410074"/>
    <w:rsid w:val="00415C43"/>
    <w:rsid w:val="00512687"/>
    <w:rsid w:val="00522596"/>
    <w:rsid w:val="0075499C"/>
    <w:rsid w:val="0096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7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007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4100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1007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4100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1007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817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2011-07-07T19:18:00Z</dcterms:created>
  <dcterms:modified xsi:type="dcterms:W3CDTF">2011-07-07T19:19:00Z</dcterms:modified>
</cp:coreProperties>
</file>